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9C" w:rsidRPr="0018209C" w:rsidRDefault="0018209C" w:rsidP="0018209C">
      <w:pPr>
        <w:pStyle w:val="NoSpacing"/>
        <w:jc w:val="center"/>
        <w:rPr>
          <w:b/>
          <w:sz w:val="28"/>
          <w:szCs w:val="28"/>
        </w:rPr>
      </w:pPr>
      <w:r w:rsidRPr="0018209C">
        <w:rPr>
          <w:b/>
          <w:sz w:val="28"/>
          <w:szCs w:val="28"/>
        </w:rPr>
        <w:t>WEST</w:t>
      </w:r>
      <w:r>
        <w:t xml:space="preserve"> </w:t>
      </w:r>
      <w:r w:rsidRPr="0018209C">
        <w:rPr>
          <w:b/>
          <w:sz w:val="28"/>
          <w:szCs w:val="28"/>
        </w:rPr>
        <w:t>SUFF</w:t>
      </w:r>
      <w:r w:rsidR="00C9555C">
        <w:rPr>
          <w:b/>
          <w:sz w:val="28"/>
          <w:szCs w:val="28"/>
        </w:rPr>
        <w:t xml:space="preserve">OLK NETBALL – SUMMER LEAGUE </w:t>
      </w:r>
      <w:r w:rsidR="00150254">
        <w:rPr>
          <w:b/>
          <w:sz w:val="28"/>
          <w:szCs w:val="28"/>
        </w:rPr>
        <w:t>2015</w:t>
      </w:r>
    </w:p>
    <w:p w:rsidR="0018209C" w:rsidRPr="0018209C" w:rsidRDefault="0018209C" w:rsidP="0018209C">
      <w:pPr>
        <w:pStyle w:val="NoSpacing"/>
        <w:jc w:val="center"/>
        <w:rPr>
          <w:b/>
          <w:sz w:val="28"/>
          <w:szCs w:val="28"/>
        </w:rPr>
      </w:pPr>
      <w:r w:rsidRPr="0018209C">
        <w:rPr>
          <w:b/>
          <w:sz w:val="28"/>
          <w:szCs w:val="28"/>
        </w:rPr>
        <w:t>UMPIRE LIST</w:t>
      </w:r>
    </w:p>
    <w:p w:rsidR="0018209C" w:rsidRDefault="0018209C" w:rsidP="0018209C">
      <w:pPr>
        <w:pStyle w:val="NoSpacing"/>
      </w:pPr>
    </w:p>
    <w:p w:rsidR="0018209C" w:rsidRDefault="0018209C" w:rsidP="0018209C">
      <w:pPr>
        <w:pStyle w:val="NoSpacing"/>
      </w:pPr>
      <w:r>
        <w:t>CLUB:</w:t>
      </w:r>
      <w:r>
        <w:tab/>
      </w:r>
      <w:r>
        <w:tab/>
      </w:r>
      <w:r>
        <w:tab/>
      </w:r>
      <w:r>
        <w:tab/>
      </w:r>
      <w:r>
        <w:tab/>
      </w:r>
      <w:r>
        <w:tab/>
      </w:r>
      <w:r>
        <w:tab/>
        <w:t>DIVISION:</w:t>
      </w:r>
    </w:p>
    <w:p w:rsidR="0018209C" w:rsidRDefault="0018209C" w:rsidP="0018209C">
      <w:pPr>
        <w:pStyle w:val="NoSpacing"/>
      </w:pPr>
    </w:p>
    <w:tbl>
      <w:tblPr>
        <w:tblStyle w:val="TableGrid"/>
        <w:tblW w:w="0" w:type="auto"/>
        <w:jc w:val="center"/>
        <w:tblLook w:val="04A0" w:firstRow="1" w:lastRow="0" w:firstColumn="1" w:lastColumn="0" w:noHBand="0" w:noVBand="1"/>
      </w:tblPr>
      <w:tblGrid>
        <w:gridCol w:w="1278"/>
        <w:gridCol w:w="6210"/>
        <w:gridCol w:w="2088"/>
      </w:tblGrid>
      <w:tr w:rsidR="0018209C" w:rsidRPr="0018209C" w:rsidTr="0018209C">
        <w:trPr>
          <w:jc w:val="center"/>
        </w:trPr>
        <w:tc>
          <w:tcPr>
            <w:tcW w:w="1278" w:type="dxa"/>
          </w:tcPr>
          <w:p w:rsidR="0018209C" w:rsidRPr="0018209C" w:rsidRDefault="0018209C" w:rsidP="0018209C">
            <w:pPr>
              <w:pStyle w:val="NoSpacing"/>
              <w:rPr>
                <w:b/>
              </w:rPr>
            </w:pPr>
            <w:r w:rsidRPr="0018209C">
              <w:rPr>
                <w:b/>
              </w:rPr>
              <w:t>Week</w:t>
            </w:r>
          </w:p>
        </w:tc>
        <w:tc>
          <w:tcPr>
            <w:tcW w:w="6210" w:type="dxa"/>
          </w:tcPr>
          <w:p w:rsidR="0018209C" w:rsidRPr="0018209C" w:rsidRDefault="0018209C" w:rsidP="0018209C">
            <w:pPr>
              <w:pStyle w:val="NoSpacing"/>
              <w:jc w:val="center"/>
              <w:rPr>
                <w:b/>
              </w:rPr>
            </w:pPr>
            <w:r w:rsidRPr="0018209C">
              <w:rPr>
                <w:b/>
              </w:rPr>
              <w:t>Name of Umpire</w:t>
            </w:r>
            <w:r w:rsidR="00150254">
              <w:rPr>
                <w:b/>
              </w:rPr>
              <w:t xml:space="preserve"> and qualification</w:t>
            </w:r>
          </w:p>
        </w:tc>
        <w:tc>
          <w:tcPr>
            <w:tcW w:w="2088" w:type="dxa"/>
          </w:tcPr>
          <w:p w:rsidR="0018209C" w:rsidRPr="0018209C" w:rsidRDefault="00150254" w:rsidP="0018209C">
            <w:pPr>
              <w:pStyle w:val="NoSpacing"/>
              <w:jc w:val="center"/>
              <w:rPr>
                <w:b/>
              </w:rPr>
            </w:pPr>
            <w:r>
              <w:rPr>
                <w:b/>
              </w:rPr>
              <w:t>Time when umpiring</w:t>
            </w:r>
          </w:p>
        </w:tc>
      </w:tr>
      <w:tr w:rsidR="0018209C" w:rsidRPr="0018209C" w:rsidTr="0018209C">
        <w:trPr>
          <w:jc w:val="center"/>
        </w:trPr>
        <w:tc>
          <w:tcPr>
            <w:tcW w:w="1278" w:type="dxa"/>
          </w:tcPr>
          <w:p w:rsidR="0018209C" w:rsidRDefault="0018209C" w:rsidP="0018209C">
            <w:pPr>
              <w:pStyle w:val="NoSpacing"/>
              <w:rPr>
                <w:b/>
              </w:rPr>
            </w:pPr>
            <w:r>
              <w:rPr>
                <w:b/>
              </w:rPr>
              <w:t>Week  1</w:t>
            </w:r>
          </w:p>
          <w:p w:rsidR="0018209C" w:rsidRPr="0018209C" w:rsidRDefault="0018209C" w:rsidP="0018209C">
            <w:pPr>
              <w:pStyle w:val="NoSpacing"/>
              <w:rPr>
                <w:b/>
              </w:rPr>
            </w:pPr>
          </w:p>
        </w:tc>
        <w:tc>
          <w:tcPr>
            <w:tcW w:w="6210" w:type="dxa"/>
          </w:tcPr>
          <w:p w:rsidR="0018209C" w:rsidRDefault="0018209C" w:rsidP="0018209C">
            <w:pPr>
              <w:pStyle w:val="NoSpacing"/>
              <w:jc w:val="center"/>
              <w:rPr>
                <w:b/>
              </w:rPr>
            </w:pPr>
          </w:p>
          <w:p w:rsidR="0018209C" w:rsidRDefault="0018209C" w:rsidP="0018209C">
            <w:pPr>
              <w:pStyle w:val="NoSpacing"/>
              <w:jc w:val="center"/>
              <w:rPr>
                <w:b/>
              </w:rPr>
            </w:pPr>
          </w:p>
          <w:p w:rsidR="0018209C" w:rsidRPr="0018209C" w:rsidRDefault="0018209C" w:rsidP="0018209C">
            <w:pPr>
              <w:pStyle w:val="NoSpacing"/>
              <w:jc w:val="center"/>
              <w:rPr>
                <w:b/>
              </w:rPr>
            </w:pPr>
          </w:p>
        </w:tc>
        <w:tc>
          <w:tcPr>
            <w:tcW w:w="2088" w:type="dxa"/>
          </w:tcPr>
          <w:p w:rsidR="0018209C" w:rsidRPr="0018209C" w:rsidRDefault="0018209C" w:rsidP="0018209C">
            <w:pPr>
              <w:pStyle w:val="NoSpacing"/>
              <w:jc w:val="center"/>
              <w:rPr>
                <w:b/>
              </w:rPr>
            </w:pPr>
          </w:p>
        </w:tc>
      </w:tr>
      <w:tr w:rsidR="0018209C" w:rsidRPr="0018209C" w:rsidTr="0018209C">
        <w:trPr>
          <w:jc w:val="center"/>
        </w:trPr>
        <w:tc>
          <w:tcPr>
            <w:tcW w:w="1278" w:type="dxa"/>
          </w:tcPr>
          <w:p w:rsidR="0018209C" w:rsidRPr="0018209C" w:rsidRDefault="0018209C" w:rsidP="0018209C">
            <w:pPr>
              <w:pStyle w:val="NoSpacing"/>
              <w:rPr>
                <w:b/>
              </w:rPr>
            </w:pPr>
            <w:r>
              <w:rPr>
                <w:b/>
              </w:rPr>
              <w:t>Week  2</w:t>
            </w:r>
          </w:p>
        </w:tc>
        <w:tc>
          <w:tcPr>
            <w:tcW w:w="6210" w:type="dxa"/>
          </w:tcPr>
          <w:p w:rsidR="0018209C" w:rsidRPr="0018209C" w:rsidRDefault="0018209C" w:rsidP="0018209C">
            <w:pPr>
              <w:pStyle w:val="NoSpacing"/>
              <w:jc w:val="center"/>
              <w:rPr>
                <w:b/>
              </w:rPr>
            </w:pPr>
          </w:p>
        </w:tc>
        <w:tc>
          <w:tcPr>
            <w:tcW w:w="2088" w:type="dxa"/>
          </w:tcPr>
          <w:p w:rsidR="0018209C" w:rsidRDefault="0018209C" w:rsidP="0018209C">
            <w:pPr>
              <w:pStyle w:val="NoSpacing"/>
              <w:jc w:val="center"/>
              <w:rPr>
                <w:b/>
              </w:rPr>
            </w:pPr>
          </w:p>
          <w:p w:rsidR="0018209C" w:rsidRDefault="0018209C" w:rsidP="0018209C">
            <w:pPr>
              <w:pStyle w:val="NoSpacing"/>
              <w:jc w:val="center"/>
              <w:rPr>
                <w:b/>
              </w:rPr>
            </w:pPr>
          </w:p>
          <w:p w:rsidR="0018209C" w:rsidRPr="0018209C" w:rsidRDefault="0018209C" w:rsidP="0018209C">
            <w:pPr>
              <w:pStyle w:val="NoSpacing"/>
              <w:jc w:val="center"/>
              <w:rPr>
                <w:b/>
              </w:rPr>
            </w:pPr>
          </w:p>
        </w:tc>
      </w:tr>
      <w:tr w:rsidR="0018209C" w:rsidRPr="0018209C" w:rsidTr="0018209C">
        <w:trPr>
          <w:jc w:val="center"/>
        </w:trPr>
        <w:tc>
          <w:tcPr>
            <w:tcW w:w="1278" w:type="dxa"/>
          </w:tcPr>
          <w:p w:rsidR="0018209C" w:rsidRPr="0018209C" w:rsidRDefault="0018209C" w:rsidP="0018209C">
            <w:pPr>
              <w:pStyle w:val="NoSpacing"/>
              <w:rPr>
                <w:b/>
              </w:rPr>
            </w:pPr>
            <w:r>
              <w:rPr>
                <w:b/>
              </w:rPr>
              <w:t>Week  3</w:t>
            </w:r>
          </w:p>
        </w:tc>
        <w:tc>
          <w:tcPr>
            <w:tcW w:w="6210" w:type="dxa"/>
          </w:tcPr>
          <w:p w:rsidR="0018209C" w:rsidRPr="0018209C" w:rsidRDefault="0018209C" w:rsidP="0018209C">
            <w:pPr>
              <w:pStyle w:val="NoSpacing"/>
              <w:jc w:val="center"/>
              <w:rPr>
                <w:b/>
              </w:rPr>
            </w:pPr>
          </w:p>
        </w:tc>
        <w:tc>
          <w:tcPr>
            <w:tcW w:w="2088" w:type="dxa"/>
          </w:tcPr>
          <w:p w:rsidR="0018209C" w:rsidRDefault="0018209C" w:rsidP="0018209C">
            <w:pPr>
              <w:pStyle w:val="NoSpacing"/>
              <w:jc w:val="center"/>
              <w:rPr>
                <w:b/>
              </w:rPr>
            </w:pPr>
          </w:p>
          <w:p w:rsidR="0018209C" w:rsidRDefault="0018209C" w:rsidP="0018209C">
            <w:pPr>
              <w:pStyle w:val="NoSpacing"/>
              <w:jc w:val="center"/>
              <w:rPr>
                <w:b/>
              </w:rPr>
            </w:pPr>
          </w:p>
          <w:p w:rsidR="0018209C" w:rsidRPr="0018209C" w:rsidRDefault="0018209C" w:rsidP="0018209C">
            <w:pPr>
              <w:pStyle w:val="NoSpacing"/>
              <w:jc w:val="center"/>
              <w:rPr>
                <w:b/>
              </w:rPr>
            </w:pPr>
          </w:p>
        </w:tc>
      </w:tr>
      <w:tr w:rsidR="0018209C" w:rsidRPr="0018209C" w:rsidTr="0018209C">
        <w:trPr>
          <w:jc w:val="center"/>
        </w:trPr>
        <w:tc>
          <w:tcPr>
            <w:tcW w:w="1278" w:type="dxa"/>
          </w:tcPr>
          <w:p w:rsidR="0018209C" w:rsidRPr="0018209C" w:rsidRDefault="0018209C" w:rsidP="0018209C">
            <w:pPr>
              <w:pStyle w:val="NoSpacing"/>
              <w:rPr>
                <w:b/>
              </w:rPr>
            </w:pPr>
            <w:r>
              <w:rPr>
                <w:b/>
              </w:rPr>
              <w:t>Week  4</w:t>
            </w:r>
          </w:p>
        </w:tc>
        <w:tc>
          <w:tcPr>
            <w:tcW w:w="6210" w:type="dxa"/>
          </w:tcPr>
          <w:p w:rsidR="0018209C" w:rsidRPr="0018209C" w:rsidRDefault="0018209C" w:rsidP="0018209C">
            <w:pPr>
              <w:pStyle w:val="NoSpacing"/>
              <w:jc w:val="center"/>
              <w:rPr>
                <w:b/>
              </w:rPr>
            </w:pPr>
          </w:p>
        </w:tc>
        <w:tc>
          <w:tcPr>
            <w:tcW w:w="2088" w:type="dxa"/>
          </w:tcPr>
          <w:p w:rsidR="0018209C" w:rsidRDefault="0018209C" w:rsidP="0018209C">
            <w:pPr>
              <w:pStyle w:val="NoSpacing"/>
              <w:jc w:val="center"/>
              <w:rPr>
                <w:b/>
              </w:rPr>
            </w:pPr>
          </w:p>
          <w:p w:rsidR="0018209C" w:rsidRDefault="0018209C" w:rsidP="0018209C">
            <w:pPr>
              <w:pStyle w:val="NoSpacing"/>
              <w:jc w:val="center"/>
              <w:rPr>
                <w:b/>
              </w:rPr>
            </w:pPr>
          </w:p>
          <w:p w:rsidR="0018209C" w:rsidRPr="0018209C" w:rsidRDefault="0018209C" w:rsidP="0018209C">
            <w:pPr>
              <w:pStyle w:val="NoSpacing"/>
              <w:jc w:val="center"/>
              <w:rPr>
                <w:b/>
              </w:rPr>
            </w:pPr>
          </w:p>
        </w:tc>
      </w:tr>
      <w:tr w:rsidR="0018209C" w:rsidRPr="0018209C" w:rsidTr="0018209C">
        <w:trPr>
          <w:jc w:val="center"/>
        </w:trPr>
        <w:tc>
          <w:tcPr>
            <w:tcW w:w="1278" w:type="dxa"/>
          </w:tcPr>
          <w:p w:rsidR="0018209C" w:rsidRPr="0018209C" w:rsidRDefault="0018209C" w:rsidP="0018209C">
            <w:pPr>
              <w:pStyle w:val="NoSpacing"/>
              <w:rPr>
                <w:b/>
              </w:rPr>
            </w:pPr>
            <w:r>
              <w:rPr>
                <w:b/>
              </w:rPr>
              <w:t>Week  5</w:t>
            </w:r>
          </w:p>
        </w:tc>
        <w:tc>
          <w:tcPr>
            <w:tcW w:w="6210" w:type="dxa"/>
          </w:tcPr>
          <w:p w:rsidR="0018209C" w:rsidRPr="0018209C" w:rsidRDefault="0018209C" w:rsidP="0018209C">
            <w:pPr>
              <w:pStyle w:val="NoSpacing"/>
              <w:jc w:val="center"/>
              <w:rPr>
                <w:b/>
              </w:rPr>
            </w:pPr>
          </w:p>
        </w:tc>
        <w:tc>
          <w:tcPr>
            <w:tcW w:w="2088" w:type="dxa"/>
          </w:tcPr>
          <w:p w:rsidR="0018209C" w:rsidRDefault="0018209C" w:rsidP="0018209C">
            <w:pPr>
              <w:pStyle w:val="NoSpacing"/>
              <w:jc w:val="center"/>
              <w:rPr>
                <w:b/>
              </w:rPr>
            </w:pPr>
          </w:p>
          <w:p w:rsidR="0018209C" w:rsidRDefault="0018209C" w:rsidP="0018209C">
            <w:pPr>
              <w:pStyle w:val="NoSpacing"/>
              <w:jc w:val="center"/>
              <w:rPr>
                <w:b/>
              </w:rPr>
            </w:pPr>
          </w:p>
          <w:p w:rsidR="0018209C" w:rsidRPr="0018209C" w:rsidRDefault="0018209C" w:rsidP="0018209C">
            <w:pPr>
              <w:pStyle w:val="NoSpacing"/>
              <w:jc w:val="center"/>
              <w:rPr>
                <w:b/>
              </w:rPr>
            </w:pPr>
          </w:p>
        </w:tc>
      </w:tr>
      <w:tr w:rsidR="0018209C" w:rsidRPr="0018209C" w:rsidTr="0018209C">
        <w:trPr>
          <w:jc w:val="center"/>
        </w:trPr>
        <w:tc>
          <w:tcPr>
            <w:tcW w:w="1278" w:type="dxa"/>
          </w:tcPr>
          <w:p w:rsidR="0018209C" w:rsidRPr="0018209C" w:rsidRDefault="0018209C" w:rsidP="0018209C">
            <w:pPr>
              <w:pStyle w:val="NoSpacing"/>
              <w:rPr>
                <w:b/>
              </w:rPr>
            </w:pPr>
            <w:r>
              <w:rPr>
                <w:b/>
              </w:rPr>
              <w:t>Week  6</w:t>
            </w:r>
          </w:p>
        </w:tc>
        <w:tc>
          <w:tcPr>
            <w:tcW w:w="6210" w:type="dxa"/>
          </w:tcPr>
          <w:p w:rsidR="0018209C" w:rsidRPr="0018209C" w:rsidRDefault="0018209C" w:rsidP="0018209C">
            <w:pPr>
              <w:pStyle w:val="NoSpacing"/>
              <w:jc w:val="center"/>
              <w:rPr>
                <w:b/>
              </w:rPr>
            </w:pPr>
          </w:p>
        </w:tc>
        <w:tc>
          <w:tcPr>
            <w:tcW w:w="2088" w:type="dxa"/>
          </w:tcPr>
          <w:p w:rsidR="0018209C" w:rsidRDefault="0018209C" w:rsidP="0018209C">
            <w:pPr>
              <w:pStyle w:val="NoSpacing"/>
              <w:jc w:val="center"/>
              <w:rPr>
                <w:b/>
              </w:rPr>
            </w:pPr>
          </w:p>
          <w:p w:rsidR="0018209C" w:rsidRDefault="0018209C" w:rsidP="0018209C">
            <w:pPr>
              <w:pStyle w:val="NoSpacing"/>
              <w:jc w:val="center"/>
              <w:rPr>
                <w:b/>
              </w:rPr>
            </w:pPr>
          </w:p>
          <w:p w:rsidR="0018209C" w:rsidRPr="0018209C" w:rsidRDefault="0018209C" w:rsidP="0018209C">
            <w:pPr>
              <w:pStyle w:val="NoSpacing"/>
              <w:jc w:val="center"/>
              <w:rPr>
                <w:b/>
              </w:rPr>
            </w:pPr>
          </w:p>
        </w:tc>
      </w:tr>
      <w:tr w:rsidR="0018209C" w:rsidRPr="0018209C" w:rsidTr="0018209C">
        <w:trPr>
          <w:jc w:val="center"/>
        </w:trPr>
        <w:tc>
          <w:tcPr>
            <w:tcW w:w="1278" w:type="dxa"/>
          </w:tcPr>
          <w:p w:rsidR="0018209C" w:rsidRPr="0018209C" w:rsidRDefault="0018209C" w:rsidP="0018209C">
            <w:pPr>
              <w:pStyle w:val="NoSpacing"/>
              <w:rPr>
                <w:b/>
              </w:rPr>
            </w:pPr>
            <w:r>
              <w:rPr>
                <w:b/>
              </w:rPr>
              <w:t>Week  7</w:t>
            </w:r>
          </w:p>
        </w:tc>
        <w:tc>
          <w:tcPr>
            <w:tcW w:w="6210" w:type="dxa"/>
          </w:tcPr>
          <w:p w:rsidR="0018209C" w:rsidRPr="0018209C" w:rsidRDefault="0018209C" w:rsidP="0018209C">
            <w:pPr>
              <w:pStyle w:val="NoSpacing"/>
              <w:jc w:val="center"/>
              <w:rPr>
                <w:b/>
              </w:rPr>
            </w:pPr>
          </w:p>
        </w:tc>
        <w:tc>
          <w:tcPr>
            <w:tcW w:w="2088" w:type="dxa"/>
          </w:tcPr>
          <w:p w:rsidR="0018209C" w:rsidRDefault="0018209C" w:rsidP="0018209C">
            <w:pPr>
              <w:pStyle w:val="NoSpacing"/>
              <w:jc w:val="center"/>
              <w:rPr>
                <w:b/>
              </w:rPr>
            </w:pPr>
          </w:p>
          <w:p w:rsidR="0018209C" w:rsidRDefault="0018209C" w:rsidP="0018209C">
            <w:pPr>
              <w:pStyle w:val="NoSpacing"/>
              <w:jc w:val="center"/>
              <w:rPr>
                <w:b/>
              </w:rPr>
            </w:pPr>
          </w:p>
          <w:p w:rsidR="0018209C" w:rsidRPr="0018209C" w:rsidRDefault="0018209C" w:rsidP="0018209C">
            <w:pPr>
              <w:pStyle w:val="NoSpacing"/>
              <w:jc w:val="center"/>
              <w:rPr>
                <w:b/>
              </w:rPr>
            </w:pPr>
          </w:p>
        </w:tc>
      </w:tr>
      <w:tr w:rsidR="0018209C" w:rsidRPr="0018209C" w:rsidTr="0018209C">
        <w:trPr>
          <w:jc w:val="center"/>
        </w:trPr>
        <w:tc>
          <w:tcPr>
            <w:tcW w:w="1278" w:type="dxa"/>
          </w:tcPr>
          <w:p w:rsidR="0018209C" w:rsidRPr="0018209C" w:rsidRDefault="0018209C" w:rsidP="0018209C">
            <w:pPr>
              <w:pStyle w:val="NoSpacing"/>
              <w:rPr>
                <w:b/>
              </w:rPr>
            </w:pPr>
            <w:r>
              <w:rPr>
                <w:b/>
              </w:rPr>
              <w:t>Week  8</w:t>
            </w:r>
          </w:p>
        </w:tc>
        <w:tc>
          <w:tcPr>
            <w:tcW w:w="6210" w:type="dxa"/>
          </w:tcPr>
          <w:p w:rsidR="0018209C" w:rsidRPr="0018209C" w:rsidRDefault="0018209C" w:rsidP="0018209C">
            <w:pPr>
              <w:pStyle w:val="NoSpacing"/>
              <w:jc w:val="center"/>
              <w:rPr>
                <w:b/>
              </w:rPr>
            </w:pPr>
          </w:p>
        </w:tc>
        <w:tc>
          <w:tcPr>
            <w:tcW w:w="2088" w:type="dxa"/>
          </w:tcPr>
          <w:p w:rsidR="0018209C" w:rsidRDefault="0018209C" w:rsidP="0018209C">
            <w:pPr>
              <w:pStyle w:val="NoSpacing"/>
              <w:jc w:val="center"/>
              <w:rPr>
                <w:b/>
              </w:rPr>
            </w:pPr>
          </w:p>
          <w:p w:rsidR="0018209C" w:rsidRDefault="0018209C" w:rsidP="0018209C">
            <w:pPr>
              <w:pStyle w:val="NoSpacing"/>
              <w:jc w:val="center"/>
              <w:rPr>
                <w:b/>
              </w:rPr>
            </w:pPr>
          </w:p>
          <w:p w:rsidR="0018209C" w:rsidRPr="0018209C" w:rsidRDefault="0018209C" w:rsidP="0018209C">
            <w:pPr>
              <w:pStyle w:val="NoSpacing"/>
              <w:jc w:val="center"/>
              <w:rPr>
                <w:b/>
              </w:rPr>
            </w:pPr>
          </w:p>
        </w:tc>
      </w:tr>
      <w:tr w:rsidR="0018209C" w:rsidRPr="0018209C" w:rsidTr="0018209C">
        <w:trPr>
          <w:jc w:val="center"/>
        </w:trPr>
        <w:tc>
          <w:tcPr>
            <w:tcW w:w="1278" w:type="dxa"/>
          </w:tcPr>
          <w:p w:rsidR="0018209C" w:rsidRDefault="0018209C" w:rsidP="0018209C">
            <w:pPr>
              <w:pStyle w:val="NoSpacing"/>
              <w:rPr>
                <w:b/>
              </w:rPr>
            </w:pPr>
            <w:r>
              <w:rPr>
                <w:b/>
              </w:rPr>
              <w:t>Week  9</w:t>
            </w:r>
          </w:p>
        </w:tc>
        <w:tc>
          <w:tcPr>
            <w:tcW w:w="6210" w:type="dxa"/>
          </w:tcPr>
          <w:p w:rsidR="0018209C" w:rsidRPr="0018209C" w:rsidRDefault="0018209C" w:rsidP="0018209C">
            <w:pPr>
              <w:pStyle w:val="NoSpacing"/>
              <w:jc w:val="center"/>
              <w:rPr>
                <w:b/>
              </w:rPr>
            </w:pPr>
          </w:p>
        </w:tc>
        <w:tc>
          <w:tcPr>
            <w:tcW w:w="2088" w:type="dxa"/>
          </w:tcPr>
          <w:p w:rsidR="0018209C" w:rsidRDefault="0018209C" w:rsidP="0018209C">
            <w:pPr>
              <w:pStyle w:val="NoSpacing"/>
              <w:jc w:val="center"/>
              <w:rPr>
                <w:b/>
              </w:rPr>
            </w:pPr>
          </w:p>
          <w:p w:rsidR="0018209C" w:rsidRDefault="0018209C" w:rsidP="0018209C">
            <w:pPr>
              <w:pStyle w:val="NoSpacing"/>
              <w:jc w:val="center"/>
              <w:rPr>
                <w:b/>
              </w:rPr>
            </w:pPr>
          </w:p>
          <w:p w:rsidR="0018209C" w:rsidRPr="0018209C" w:rsidRDefault="0018209C" w:rsidP="0018209C">
            <w:pPr>
              <w:pStyle w:val="NoSpacing"/>
              <w:jc w:val="center"/>
              <w:rPr>
                <w:b/>
              </w:rPr>
            </w:pPr>
          </w:p>
        </w:tc>
      </w:tr>
      <w:tr w:rsidR="0018209C" w:rsidRPr="0018209C" w:rsidTr="0018209C">
        <w:trPr>
          <w:jc w:val="center"/>
        </w:trPr>
        <w:tc>
          <w:tcPr>
            <w:tcW w:w="1278" w:type="dxa"/>
          </w:tcPr>
          <w:p w:rsidR="0018209C" w:rsidRDefault="0018209C" w:rsidP="0018209C">
            <w:pPr>
              <w:pStyle w:val="NoSpacing"/>
              <w:rPr>
                <w:b/>
              </w:rPr>
            </w:pPr>
            <w:r>
              <w:rPr>
                <w:b/>
              </w:rPr>
              <w:t>Week 10</w:t>
            </w:r>
          </w:p>
        </w:tc>
        <w:tc>
          <w:tcPr>
            <w:tcW w:w="6210" w:type="dxa"/>
          </w:tcPr>
          <w:p w:rsidR="0018209C" w:rsidRPr="0018209C" w:rsidRDefault="0018209C" w:rsidP="0018209C">
            <w:pPr>
              <w:pStyle w:val="NoSpacing"/>
              <w:jc w:val="center"/>
              <w:rPr>
                <w:b/>
              </w:rPr>
            </w:pPr>
          </w:p>
        </w:tc>
        <w:tc>
          <w:tcPr>
            <w:tcW w:w="2088" w:type="dxa"/>
          </w:tcPr>
          <w:p w:rsidR="0018209C" w:rsidRDefault="0018209C" w:rsidP="0018209C">
            <w:pPr>
              <w:pStyle w:val="NoSpacing"/>
              <w:jc w:val="center"/>
              <w:rPr>
                <w:b/>
              </w:rPr>
            </w:pPr>
          </w:p>
          <w:p w:rsidR="0018209C" w:rsidRDefault="0018209C" w:rsidP="0018209C">
            <w:pPr>
              <w:pStyle w:val="NoSpacing"/>
              <w:jc w:val="center"/>
              <w:rPr>
                <w:b/>
              </w:rPr>
            </w:pPr>
          </w:p>
          <w:p w:rsidR="0018209C" w:rsidRPr="0018209C" w:rsidRDefault="0018209C" w:rsidP="0018209C">
            <w:pPr>
              <w:pStyle w:val="NoSpacing"/>
              <w:jc w:val="center"/>
              <w:rPr>
                <w:b/>
              </w:rPr>
            </w:pPr>
          </w:p>
        </w:tc>
      </w:tr>
    </w:tbl>
    <w:p w:rsidR="0018209C" w:rsidRPr="005B6D44" w:rsidRDefault="0018209C" w:rsidP="0018209C">
      <w:pPr>
        <w:pStyle w:val="NoSpacing"/>
        <w:rPr>
          <w:sz w:val="10"/>
          <w:szCs w:val="10"/>
        </w:rPr>
      </w:pPr>
    </w:p>
    <w:p w:rsidR="0018209C" w:rsidRDefault="0018209C" w:rsidP="0018209C">
      <w:pPr>
        <w:pStyle w:val="NoSpacing"/>
        <w:rPr>
          <w:sz w:val="24"/>
          <w:szCs w:val="24"/>
        </w:rPr>
      </w:pPr>
      <w:r>
        <w:rPr>
          <w:sz w:val="24"/>
          <w:szCs w:val="24"/>
        </w:rPr>
        <w:t xml:space="preserve">Please complete the above table and return to the umpiring secretary – </w:t>
      </w:r>
      <w:proofErr w:type="spellStart"/>
      <w:r>
        <w:rPr>
          <w:sz w:val="24"/>
          <w:szCs w:val="24"/>
        </w:rPr>
        <w:t>Lan</w:t>
      </w:r>
      <w:proofErr w:type="spellEnd"/>
      <w:r>
        <w:rPr>
          <w:sz w:val="24"/>
          <w:szCs w:val="24"/>
        </w:rPr>
        <w:t xml:space="preserve"> Keogh (</w:t>
      </w:r>
      <w:hyperlink r:id="rId5" w:history="1">
        <w:r w:rsidRPr="00AB49AD">
          <w:rPr>
            <w:rStyle w:val="Hyperlink"/>
            <w:sz w:val="24"/>
            <w:szCs w:val="24"/>
          </w:rPr>
          <w:t>langyte@hotmail.com</w:t>
        </w:r>
      </w:hyperlink>
      <w:r>
        <w:rPr>
          <w:sz w:val="24"/>
          <w:szCs w:val="24"/>
        </w:rPr>
        <w:t>).</w:t>
      </w:r>
    </w:p>
    <w:p w:rsidR="0018209C" w:rsidRPr="005B6D44" w:rsidRDefault="0018209C" w:rsidP="0018209C">
      <w:pPr>
        <w:pStyle w:val="NoSpacing"/>
        <w:rPr>
          <w:sz w:val="10"/>
          <w:szCs w:val="10"/>
        </w:rPr>
      </w:pPr>
    </w:p>
    <w:p w:rsidR="0018209C" w:rsidRDefault="0018209C" w:rsidP="0018209C">
      <w:pPr>
        <w:pStyle w:val="NoSpacing"/>
        <w:rPr>
          <w:sz w:val="24"/>
          <w:szCs w:val="24"/>
        </w:rPr>
      </w:pPr>
      <w:r>
        <w:rPr>
          <w:sz w:val="24"/>
          <w:szCs w:val="24"/>
        </w:rPr>
        <w:t>We request this information to assist with placing neutral umpires on the night and to ensure that clubs are providing umpires.  We ask that this form is returned before the start of the summer league – if you do not have all weeks covered then please send what you have arranged.</w:t>
      </w:r>
    </w:p>
    <w:p w:rsidR="0018209C" w:rsidRPr="005B6D44" w:rsidRDefault="0018209C" w:rsidP="0018209C">
      <w:pPr>
        <w:pStyle w:val="NoSpacing"/>
        <w:rPr>
          <w:sz w:val="10"/>
          <w:szCs w:val="10"/>
        </w:rPr>
      </w:pPr>
      <w:bookmarkStart w:id="0" w:name="_GoBack"/>
    </w:p>
    <w:bookmarkEnd w:id="0"/>
    <w:p w:rsidR="0018209C" w:rsidRPr="0018209C" w:rsidRDefault="0018209C" w:rsidP="0018209C">
      <w:pPr>
        <w:pStyle w:val="NoSpacing"/>
        <w:rPr>
          <w:sz w:val="24"/>
          <w:szCs w:val="24"/>
        </w:rPr>
      </w:pPr>
      <w:r>
        <w:rPr>
          <w:sz w:val="24"/>
          <w:szCs w:val="24"/>
        </w:rPr>
        <w:t>Thank you</w:t>
      </w:r>
    </w:p>
    <w:sectPr w:rsidR="0018209C" w:rsidRPr="00182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9C"/>
    <w:rsid w:val="00150254"/>
    <w:rsid w:val="0018209C"/>
    <w:rsid w:val="005B6D44"/>
    <w:rsid w:val="00C741EC"/>
    <w:rsid w:val="00C9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09C"/>
    <w:pPr>
      <w:spacing w:after="0" w:line="240" w:lineRule="auto"/>
    </w:pPr>
  </w:style>
  <w:style w:type="table" w:styleId="TableGrid">
    <w:name w:val="Table Grid"/>
    <w:basedOn w:val="TableNormal"/>
    <w:uiPriority w:val="59"/>
    <w:rsid w:val="00182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0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09C"/>
    <w:pPr>
      <w:spacing w:after="0" w:line="240" w:lineRule="auto"/>
    </w:pPr>
  </w:style>
  <w:style w:type="table" w:styleId="TableGrid">
    <w:name w:val="Table Grid"/>
    <w:basedOn w:val="TableNormal"/>
    <w:uiPriority w:val="59"/>
    <w:rsid w:val="00182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0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ngyte@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BAB92911</Template>
  <TotalTime>1</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keogh</dc:creator>
  <cp:lastModifiedBy>Keogh, Lesley-Ann</cp:lastModifiedBy>
  <cp:revision>3</cp:revision>
  <dcterms:created xsi:type="dcterms:W3CDTF">2015-03-17T09:54:00Z</dcterms:created>
  <dcterms:modified xsi:type="dcterms:W3CDTF">2015-03-17T09:55:00Z</dcterms:modified>
</cp:coreProperties>
</file>